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RTCNYC Tool 12.3.3.1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Organizing Principles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"We have rights only as long as we are willing to struggle for them." --Ella Baker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Provide tenants with tools to fight/leadership development.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Share resources with tenants to have access to the right.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Increase tenant power to defend themselves and assert themselves.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Stop intimidation and harassment.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Immigrants rights--ensure all immigrants have equal access to this right.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the dynamic in housing court.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Hold landlords accountable.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Upend the popular narrative that eviction cases are simple or a tenant’s fault---evictions are about power! There is more housing law in new york than all the federal law combine.  We should use the law to defend our communities!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Build community to create space for action.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Building tenant power--to go bigger--fight against larger structures.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Education and awareness--applies to all.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Shift the narrative about tenants’ rights--being behind in rent does not take away your rights.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Right will not exist in practice if we don’t organize.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space for more creative action.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Protecting vulnerable communities during implementation.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Preserving affordable housing.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a model for the nation--building the way towards a right to housing.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