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60" w:lineRule="auto"/>
        <w:contextualSpacing w:val="0"/>
        <w:rPr>
          <w:rFonts w:ascii="Times" w:cs="Times" w:eastAsia="Times" w:hAnsi="Times"/>
          <w:b w:val="1"/>
          <w:sz w:val="28"/>
          <w:szCs w:val="28"/>
        </w:rPr>
      </w:pPr>
      <w:r w:rsidDel="00000000" w:rsidR="00000000" w:rsidRPr="00000000">
        <w:rPr>
          <w:rFonts w:ascii="Calibri" w:cs="Calibri" w:eastAsia="Calibri" w:hAnsi="Calibri"/>
          <w:rtl w:val="0"/>
        </w:rPr>
        <w:t xml:space="preserve">RTCNYC Tool 10.2.3</w:t>
      </w: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In Effort to Combat Homeless Crisis, CM Levine, Gibson, Advocacy Groups,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Champion Right to Counsel for Low-Income Tenants in Housing Court</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0"/>
          <w:i w:val="1"/>
          <w:smallCaps w:val="0"/>
          <w:strike w:val="0"/>
          <w:color w:val="000000"/>
          <w:sz w:val="22"/>
          <w:szCs w:val="22"/>
          <w:u w:val="none"/>
          <w:shd w:fill="auto" w:val="clear"/>
          <w:vertAlign w:val="baseline"/>
        </w:rPr>
      </w:pPr>
      <w:r w:rsidDel="00000000" w:rsidR="00000000" w:rsidRPr="00000000">
        <w:rPr>
          <w:rFonts w:ascii="Times" w:cs="Times" w:eastAsia="Times" w:hAnsi="Times"/>
          <w:b w:val="0"/>
          <w:i w:val="1"/>
          <w:smallCaps w:val="0"/>
          <w:strike w:val="0"/>
          <w:color w:val="000000"/>
          <w:sz w:val="22"/>
          <w:szCs w:val="22"/>
          <w:u w:val="none"/>
          <w:shd w:fill="auto" w:val="clear"/>
          <w:vertAlign w:val="baseline"/>
          <w:rtl w:val="0"/>
        </w:rPr>
        <w:t xml:space="preserve">Former NYS Chief Judge Lippman, NYC Comptroller Stringer, NYC Public Advocate James, and dozens of other elected officials and advocacy groups will be in attendance to show their support for the bill, which has also been endorsed in today’s editorial by the New York Times</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**FOR IMMEDIATE RELEASE*</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1"/>
        </w:rPr>
      </w:pPr>
      <w:r w:rsidDel="00000000" w:rsidR="00000000" w:rsidRPr="00000000">
        <w:rPr>
          <w:rFonts w:ascii="Times" w:cs="Times" w:eastAsia="Times" w:hAnsi="Times"/>
          <w:b w:val="1"/>
          <w:rtl w:val="0"/>
        </w:rPr>
        <w:t xml:space="preserve">[Contact: ______]</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WHEN : Monday, September 26, 2016 at 10am</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WHERE: City Hall Steps. City Hall Chambers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WHO: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Council Members Mark Levine and Vanessa Gibson, NYC Public Advocate Letitia James, NYC Comptroller Scott Stringer, former Chief Judge Jonathan Lippman, Manhattan BP Gale Brewer, Bronx BP Ruben Diaz Jr., Brooklyn BP Eric Adams, several other city and state elected officials, legal services providers, tenant advocacy groups, faith leaders, unions, and the NYC Bar Association.</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New York, NY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There will be a press conference and public hearing on Int. 214A-2014, a local law that will provide legal representation for low-income tenants who are subject to eviction, ejectment or foreclosure proceedings. This bill is sponsored by Council Members Levine and Gibson, and signed by 40 additional City Council Members.</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Unlike in criminal court, there is no right to counsel in housing court. Tenants without resources must fend for themselves. Today, only about 20% of those facing eviction are represented by an attorney-- compared to nearly 100% of landlords. The resulting unlevel playing field has been disastrous for tenants. In 2015 alone, nearly 22,000 New York City families were evicted. This wave of evictions is driving our homeless and affordable housing crisis. The IBO reports that eviction is the single most common reason that families in New York City end up in shelters, and over the past decade, the share of families citing eviction as the cause for their homelessness has increased dramatically. Evictions are also leading to a loss of affordable housing, as over half of the units vacated are rent stabilized, and many of those apartments then go market rate. The impact of having an attorney is invaluable. Controlled studies show that having legal representation during housing court proceedings reduces the chances of eviction by 77%, and in some cases landlords simply drop their cases after learning the tenant has an attorney. Since the Mayor and the City Council have dramatically increased funding for anti-eviction legal services over the past two years, from $6 million in FY14 to over $60M in FY17, evictions in 2015 dropped 18.1% from the previous year. In addition to former NYS Chief Judge Jonathan Lipmann, </w:t>
      </w:r>
      <w:r w:rsidDel="00000000" w:rsidR="00000000" w:rsidRPr="00000000">
        <w:rPr>
          <w:rFonts w:ascii="Times" w:cs="Times" w:eastAsia="Times" w:hAnsi="Times"/>
          <w:rtl w:val="0"/>
        </w:rPr>
        <w:t xml:space="preserve">a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broad coalition of leaders and organizations have coalesced around the movement to expand representation in housing court. Supporters include not</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just nearly every major tenants rights and affordable housing group in the city, but also SEIU 1199, DC37 and advocacy groups as diverse as LiveOn NY, Coalition for the Homeless, the National Center for Access to Justice, and the National Coalition for a Civil Right to Counsel.</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