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795338" cy="9558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95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RTCNYC Tool 12.4.4.b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b w:val="1"/>
          <w:color w:val="222222"/>
          <w:sz w:val="23"/>
          <w:szCs w:val="23"/>
          <w:u w:val="single"/>
          <w:rtl w:val="0"/>
        </w:rPr>
        <w:t xml:space="preserve">Tenant Movement History Timeline, Small Group Instructions</w:t>
      </w:r>
    </w:p>
    <w:p w:rsidR="00000000" w:rsidDel="00000000" w:rsidP="00000000" w:rsidRDefault="00000000" w:rsidRPr="00000000" w14:paraId="00000007">
      <w:pPr>
        <w:pageBreakBefore w:val="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You have 45 minutes for your small group discussion.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Go around and introduce yourselves to your group: name, preferred gender pronoun, organization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Choose someone to facilitate, someone who will report back at the end, and someone who will be the timekeeper.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Go in a circle to take turns reading each slide aloud in order. The numbers are on the back. Read all of the slides first before you begin discussion!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On one piece of paper please collectively complete this sentence: “This period of time is characterized by__”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On the other piece of paper, collectively list the top 3 lessons learned from this period of time.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color w:val="222222"/>
          <w:sz w:val="23"/>
          <w:szCs w:val="23"/>
        </w:rPr>
      </w:pPr>
      <w:r w:rsidDel="00000000" w:rsidR="00000000" w:rsidRPr="00000000">
        <w:rPr>
          <w:color w:val="222222"/>
          <w:sz w:val="23"/>
          <w:szCs w:val="23"/>
          <w:rtl w:val="0"/>
        </w:rPr>
        <w:t xml:space="preserve">Get ready to report back!</w:t>
      </w:r>
    </w:p>
    <w:p w:rsidR="00000000" w:rsidDel="00000000" w:rsidP="00000000" w:rsidRDefault="00000000" w:rsidRPr="00000000" w14:paraId="0000000F">
      <w:pPr>
        <w:pageBreakBefore w:val="0"/>
        <w:rPr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